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22E933" w14:textId="77777777" w:rsidR="008D6E9F" w:rsidRPr="001A09AE" w:rsidRDefault="008D6E9F">
      <w:bookmarkStart w:id="0" w:name="_GoBack"/>
    </w:p>
    <w:p w14:paraId="4D592A09" w14:textId="77777777" w:rsidR="009E5850" w:rsidRPr="001A09AE" w:rsidRDefault="00976097" w:rsidP="0052662E">
      <w:pPr>
        <w:spacing w:line="440" w:lineRule="exact"/>
        <w:jc w:val="both"/>
        <w:rPr>
          <w:rFonts w:asciiTheme="majorEastAsia" w:eastAsiaTheme="majorEastAsia" w:hAnsiTheme="majorEastAsia"/>
        </w:rPr>
      </w:pPr>
      <w:r w:rsidRPr="001A09AE">
        <w:rPr>
          <w:rFonts w:asciiTheme="majorEastAsia" w:eastAsiaTheme="majorEastAsia" w:hAnsiTheme="majorEastAsia" w:cs="Arial" w:hint="eastAsia"/>
          <w:sz w:val="28"/>
          <w:szCs w:val="28"/>
          <w:shd w:val="clear" w:color="auto" w:fill="F9FBFB"/>
        </w:rPr>
        <w:t>規費之收費基準應以考量政府服務成本為計費原則，即採費用填補成本回收原則計費，各收費項目均應依上開原則個別訂定費額</w:t>
      </w:r>
    </w:p>
    <w:p w14:paraId="70AE734F" w14:textId="607B207F" w:rsidR="009E5850" w:rsidRPr="001A09AE" w:rsidRDefault="009E5850" w:rsidP="00301879">
      <w:pPr>
        <w:jc w:val="both"/>
        <w:rPr>
          <w:sz w:val="28"/>
          <w:szCs w:val="28"/>
        </w:rPr>
      </w:pPr>
      <w:r w:rsidRPr="001A09AE">
        <w:rPr>
          <w:sz w:val="28"/>
          <w:szCs w:val="28"/>
        </w:rPr>
        <w:t xml:space="preserve">The </w:t>
      </w:r>
      <w:r w:rsidR="002E3876" w:rsidRPr="001A09AE">
        <w:rPr>
          <w:sz w:val="28"/>
          <w:szCs w:val="28"/>
        </w:rPr>
        <w:t xml:space="preserve">standards </w:t>
      </w:r>
      <w:r w:rsidR="002E3876" w:rsidRPr="001A09AE">
        <w:rPr>
          <w:rFonts w:hint="eastAsia"/>
          <w:sz w:val="28"/>
          <w:szCs w:val="28"/>
        </w:rPr>
        <w:t>o</w:t>
      </w:r>
      <w:r w:rsidR="002E3876" w:rsidRPr="001A09AE">
        <w:rPr>
          <w:sz w:val="28"/>
          <w:szCs w:val="28"/>
        </w:rPr>
        <w:t xml:space="preserve">f </w:t>
      </w:r>
      <w:r w:rsidRPr="001A09AE">
        <w:rPr>
          <w:sz w:val="28"/>
          <w:szCs w:val="28"/>
        </w:rPr>
        <w:t>charges</w:t>
      </w:r>
      <w:r w:rsidR="002E3876" w:rsidRPr="001A09AE">
        <w:rPr>
          <w:sz w:val="28"/>
          <w:szCs w:val="28"/>
        </w:rPr>
        <w:t xml:space="preserve"> and fees</w:t>
      </w:r>
      <w:r w:rsidRPr="001A09AE">
        <w:rPr>
          <w:sz w:val="28"/>
          <w:szCs w:val="28"/>
        </w:rPr>
        <w:t xml:space="preserve"> should be based on the principle of </w:t>
      </w:r>
      <w:r w:rsidR="002E3876" w:rsidRPr="001A09AE">
        <w:rPr>
          <w:sz w:val="28"/>
          <w:szCs w:val="28"/>
        </w:rPr>
        <w:t xml:space="preserve">taking into account </w:t>
      </w:r>
      <w:r w:rsidRPr="001A09AE">
        <w:rPr>
          <w:sz w:val="28"/>
          <w:szCs w:val="28"/>
        </w:rPr>
        <w:t>government service costs</w:t>
      </w:r>
      <w:r w:rsidR="00D274D5" w:rsidRPr="001A09AE">
        <w:rPr>
          <w:rFonts w:hint="eastAsia"/>
          <w:sz w:val="28"/>
          <w:szCs w:val="28"/>
        </w:rPr>
        <w:t xml:space="preserve"> and</w:t>
      </w:r>
      <w:r w:rsidR="002E3876" w:rsidRPr="001A09AE">
        <w:rPr>
          <w:sz w:val="28"/>
          <w:szCs w:val="28"/>
        </w:rPr>
        <w:t xml:space="preserve"> applying the</w:t>
      </w:r>
      <w:r w:rsidR="00D274D5" w:rsidRPr="001A09AE">
        <w:rPr>
          <w:rFonts w:hint="eastAsia"/>
          <w:sz w:val="28"/>
          <w:szCs w:val="28"/>
        </w:rPr>
        <w:t xml:space="preserve"> </w:t>
      </w:r>
      <w:r w:rsidR="00D274D5" w:rsidRPr="001A09AE">
        <w:rPr>
          <w:sz w:val="28"/>
          <w:szCs w:val="28"/>
        </w:rPr>
        <w:t>“</w:t>
      </w:r>
      <w:r w:rsidR="002E3876" w:rsidRPr="001A09AE">
        <w:rPr>
          <w:sz w:val="28"/>
          <w:szCs w:val="28"/>
        </w:rPr>
        <w:t>fees compensation” or “</w:t>
      </w:r>
      <w:r w:rsidR="002E3876" w:rsidRPr="001A09AE">
        <w:rPr>
          <w:rFonts w:hint="eastAsia"/>
          <w:sz w:val="28"/>
          <w:szCs w:val="28"/>
        </w:rPr>
        <w:t>c</w:t>
      </w:r>
      <w:r w:rsidR="002E3876" w:rsidRPr="001A09AE">
        <w:rPr>
          <w:sz w:val="28"/>
          <w:szCs w:val="28"/>
        </w:rPr>
        <w:t>osts recovery” charging principles</w:t>
      </w:r>
      <w:r w:rsidRPr="001A09AE">
        <w:rPr>
          <w:sz w:val="28"/>
          <w:szCs w:val="28"/>
        </w:rPr>
        <w:t>. Each fee item should be individually set according to this principle.</w:t>
      </w:r>
    </w:p>
    <w:p w14:paraId="308E3EA2" w14:textId="0EAE0B06" w:rsidR="001627B6" w:rsidRPr="001A09AE" w:rsidRDefault="001627B6"/>
    <w:p w14:paraId="5C05A018" w14:textId="77777777" w:rsidR="00976097" w:rsidRPr="001A09AE" w:rsidRDefault="00976097">
      <w:pPr>
        <w:rPr>
          <w:rFonts w:asciiTheme="majorEastAsia" w:eastAsiaTheme="majorEastAsia" w:hAnsiTheme="majorEastAsia"/>
          <w:sz w:val="28"/>
          <w:szCs w:val="28"/>
        </w:rPr>
      </w:pPr>
      <w:r w:rsidRPr="001A09AE">
        <w:rPr>
          <w:rFonts w:asciiTheme="majorEastAsia" w:eastAsiaTheme="majorEastAsia" w:hAnsiTheme="majorEastAsia" w:hint="eastAsia"/>
          <w:sz w:val="28"/>
          <w:szCs w:val="28"/>
        </w:rPr>
        <w:t>中華民國</w:t>
      </w:r>
      <w:r w:rsidRPr="001A09AE">
        <w:rPr>
          <w:rFonts w:asciiTheme="majorEastAsia" w:eastAsiaTheme="majorEastAsia" w:hAnsiTheme="majorEastAsia" w:cs="Times New Roman" w:hint="eastAsia"/>
          <w:sz w:val="28"/>
          <w:szCs w:val="28"/>
        </w:rPr>
        <w:t>107</w:t>
      </w:r>
      <w:r w:rsidRPr="001A09AE">
        <w:rPr>
          <w:rFonts w:asciiTheme="majorEastAsia" w:eastAsiaTheme="majorEastAsia" w:hAnsiTheme="majorEastAsia" w:hint="eastAsia"/>
          <w:sz w:val="28"/>
          <w:szCs w:val="28"/>
        </w:rPr>
        <w:t>年</w:t>
      </w:r>
      <w:r w:rsidRPr="001A09AE">
        <w:rPr>
          <w:rFonts w:asciiTheme="majorEastAsia" w:eastAsiaTheme="majorEastAsia" w:hAnsiTheme="majorEastAsia" w:cs="Times New Roman" w:hint="eastAsia"/>
          <w:sz w:val="28"/>
          <w:szCs w:val="28"/>
        </w:rPr>
        <w:t>3</w:t>
      </w:r>
      <w:r w:rsidRPr="001A09AE">
        <w:rPr>
          <w:rFonts w:asciiTheme="majorEastAsia" w:eastAsiaTheme="majorEastAsia" w:hAnsiTheme="majorEastAsia" w:hint="eastAsia"/>
          <w:sz w:val="28"/>
          <w:szCs w:val="28"/>
        </w:rPr>
        <w:t>月</w:t>
      </w:r>
      <w:r w:rsidRPr="001A09AE">
        <w:rPr>
          <w:rFonts w:asciiTheme="majorEastAsia" w:eastAsiaTheme="majorEastAsia" w:hAnsiTheme="majorEastAsia" w:cs="Times New Roman" w:hint="eastAsia"/>
          <w:sz w:val="28"/>
          <w:szCs w:val="28"/>
        </w:rPr>
        <w:t>15</w:t>
      </w:r>
      <w:r w:rsidRPr="001A09AE">
        <w:rPr>
          <w:rFonts w:asciiTheme="majorEastAsia" w:eastAsiaTheme="majorEastAsia" w:hAnsiTheme="majorEastAsia" w:hint="eastAsia"/>
          <w:sz w:val="28"/>
          <w:szCs w:val="28"/>
        </w:rPr>
        <w:t>日台財庫字第</w:t>
      </w:r>
      <w:r w:rsidRPr="001A09AE">
        <w:rPr>
          <w:rFonts w:asciiTheme="majorEastAsia" w:eastAsiaTheme="majorEastAsia" w:hAnsiTheme="majorEastAsia" w:cs="Times New Roman" w:hint="eastAsia"/>
          <w:sz w:val="28"/>
          <w:szCs w:val="28"/>
        </w:rPr>
        <w:t>10700036640</w:t>
      </w:r>
      <w:r w:rsidRPr="001A09AE">
        <w:rPr>
          <w:rFonts w:asciiTheme="majorEastAsia" w:eastAsiaTheme="majorEastAsia" w:hAnsiTheme="majorEastAsia" w:hint="eastAsia"/>
          <w:sz w:val="28"/>
          <w:szCs w:val="28"/>
        </w:rPr>
        <w:t>號</w:t>
      </w:r>
    </w:p>
    <w:p w14:paraId="5EDBB15A" w14:textId="77777777" w:rsidR="00976097" w:rsidRPr="001A09AE" w:rsidRDefault="003078EC" w:rsidP="00034559">
      <w:pPr>
        <w:pStyle w:val="a3"/>
        <w:spacing w:line="440" w:lineRule="exact"/>
        <w:ind w:leftChars="0" w:left="0" w:firstLine="2"/>
        <w:jc w:val="both"/>
        <w:rPr>
          <w:rFonts w:ascii="Arial" w:hAnsi="Arial" w:cs="Arial"/>
          <w:sz w:val="28"/>
          <w:szCs w:val="28"/>
          <w:shd w:val="clear" w:color="auto" w:fill="F9FBFB"/>
        </w:rPr>
      </w:pPr>
      <w:r w:rsidRPr="001A09AE">
        <w:rPr>
          <w:sz w:val="28"/>
          <w:szCs w:val="28"/>
        </w:rPr>
        <w:t>Issuance of Explanatory Decree No. 10700036640 by the MOF on March 15, 2018.</w:t>
      </w:r>
    </w:p>
    <w:p w14:paraId="2D2FB478" w14:textId="77777777" w:rsidR="003078EC" w:rsidRPr="001A09AE" w:rsidRDefault="003078EC" w:rsidP="00976097">
      <w:pPr>
        <w:autoSpaceDE w:val="0"/>
        <w:autoSpaceDN w:val="0"/>
        <w:adjustRightInd w:val="0"/>
      </w:pPr>
    </w:p>
    <w:p w14:paraId="1A2B3337" w14:textId="77777777" w:rsidR="00976097" w:rsidRPr="001A09AE" w:rsidRDefault="00976097" w:rsidP="00DB6511">
      <w:pPr>
        <w:spacing w:line="440" w:lineRule="exact"/>
        <w:jc w:val="both"/>
        <w:rPr>
          <w:rFonts w:asciiTheme="majorEastAsia" w:eastAsiaTheme="majorEastAsia" w:hAnsiTheme="majorEastAsia"/>
        </w:rPr>
      </w:pPr>
      <w:r w:rsidRPr="001A09AE">
        <w:rPr>
          <w:rFonts w:asciiTheme="majorEastAsia" w:eastAsiaTheme="majorEastAsia" w:hAnsiTheme="majorEastAsia" w:cs="Arial" w:hint="eastAsia"/>
          <w:sz w:val="28"/>
          <w:szCs w:val="28"/>
          <w:shd w:val="clear" w:color="auto" w:fill="F9FBFB"/>
        </w:rPr>
        <w:t>參酌規費法第</w:t>
      </w:r>
      <w:r w:rsidRPr="001A09AE">
        <w:rPr>
          <w:rFonts w:asciiTheme="majorEastAsia" w:eastAsiaTheme="majorEastAsia" w:hAnsiTheme="majorEastAsia" w:cs="Arial"/>
          <w:sz w:val="28"/>
          <w:szCs w:val="28"/>
          <w:shd w:val="clear" w:color="auto" w:fill="F9FBFB"/>
        </w:rPr>
        <w:t>10</w:t>
      </w:r>
      <w:r w:rsidRPr="001A09AE">
        <w:rPr>
          <w:rFonts w:asciiTheme="majorEastAsia" w:eastAsiaTheme="majorEastAsia" w:hAnsiTheme="majorEastAsia" w:cs="Arial" w:hint="eastAsia"/>
          <w:sz w:val="28"/>
          <w:szCs w:val="28"/>
          <w:shd w:val="clear" w:color="auto" w:fill="F9FBFB"/>
        </w:rPr>
        <w:t>條立法理由，規費之收費基準應以考量政府服務成本為計費原則，就同法第</w:t>
      </w:r>
      <w:r w:rsidRPr="001A09AE">
        <w:rPr>
          <w:rFonts w:asciiTheme="majorEastAsia" w:eastAsiaTheme="majorEastAsia" w:hAnsiTheme="majorEastAsia" w:cs="Arial"/>
          <w:sz w:val="28"/>
          <w:szCs w:val="28"/>
          <w:shd w:val="clear" w:color="auto" w:fill="F9FBFB"/>
        </w:rPr>
        <w:t>7</w:t>
      </w:r>
      <w:r w:rsidRPr="001A09AE">
        <w:rPr>
          <w:rFonts w:asciiTheme="majorEastAsia" w:eastAsiaTheme="majorEastAsia" w:hAnsiTheme="majorEastAsia" w:cs="Arial" w:hint="eastAsia"/>
          <w:sz w:val="28"/>
          <w:szCs w:val="28"/>
          <w:shd w:val="clear" w:color="auto" w:fill="F9FBFB"/>
        </w:rPr>
        <w:t>條行政規費與第</w:t>
      </w:r>
      <w:r w:rsidRPr="001A09AE">
        <w:rPr>
          <w:rFonts w:asciiTheme="majorEastAsia" w:eastAsiaTheme="majorEastAsia" w:hAnsiTheme="majorEastAsia" w:cs="Arial"/>
          <w:sz w:val="28"/>
          <w:szCs w:val="28"/>
          <w:shd w:val="clear" w:color="auto" w:fill="F9FBFB"/>
        </w:rPr>
        <w:t>8</w:t>
      </w:r>
      <w:r w:rsidRPr="001A09AE">
        <w:rPr>
          <w:rFonts w:asciiTheme="majorEastAsia" w:eastAsiaTheme="majorEastAsia" w:hAnsiTheme="majorEastAsia" w:cs="Arial" w:hint="eastAsia"/>
          <w:sz w:val="28"/>
          <w:szCs w:val="28"/>
          <w:shd w:val="clear" w:color="auto" w:fill="F9FBFB"/>
        </w:rPr>
        <w:t>條使用規費，分別採「費用填補」及「成本回收」原則計費</w:t>
      </w:r>
      <w:r w:rsidRPr="001A09AE">
        <w:rPr>
          <w:rFonts w:asciiTheme="majorEastAsia" w:eastAsiaTheme="majorEastAsia" w:hAnsiTheme="majorEastAsia" w:cs="Arial"/>
          <w:sz w:val="28"/>
          <w:szCs w:val="28"/>
          <w:shd w:val="clear" w:color="auto" w:fill="F9FBFB"/>
        </w:rPr>
        <w:t>;</w:t>
      </w:r>
      <w:r w:rsidRPr="001A09AE">
        <w:rPr>
          <w:rFonts w:asciiTheme="majorEastAsia" w:eastAsiaTheme="majorEastAsia" w:hAnsiTheme="majorEastAsia" w:cs="Arial" w:hint="eastAsia"/>
          <w:sz w:val="28"/>
          <w:szCs w:val="28"/>
          <w:shd w:val="clear" w:color="auto" w:fill="F9FBFB"/>
        </w:rPr>
        <w:t>對特定管制事項或其他特殊情形者，得併考量其特性或目的訂定。各收費項目均應依上開原則個別訂定費額，尚無由不同項目互相填補成本計費情形。</w:t>
      </w:r>
    </w:p>
    <w:p w14:paraId="065893BC" w14:textId="2D932F31" w:rsidR="00976097" w:rsidRPr="001A09AE" w:rsidRDefault="009E5850" w:rsidP="00301879">
      <w:pPr>
        <w:jc w:val="both"/>
        <w:rPr>
          <w:rFonts w:ascii="DFKaiShu-SB-Estd-BF" w:eastAsia="DFKaiShu-SB-Estd-BF" w:cs="DFKaiShu-SB-Estd-BF"/>
          <w:kern w:val="0"/>
          <w:sz w:val="28"/>
          <w:szCs w:val="28"/>
        </w:rPr>
      </w:pPr>
      <w:r w:rsidRPr="001A09AE">
        <w:rPr>
          <w:sz w:val="28"/>
          <w:szCs w:val="28"/>
        </w:rPr>
        <w:t xml:space="preserve">Referring to the legislative rationale of Article 10 of the </w:t>
      </w:r>
      <w:r w:rsidR="00BF4AC1" w:rsidRPr="001A09AE">
        <w:rPr>
          <w:sz w:val="28"/>
          <w:szCs w:val="28"/>
        </w:rPr>
        <w:t>Charges and Fees Act</w:t>
      </w:r>
      <w:r w:rsidR="00D274D5" w:rsidRPr="001A09AE">
        <w:rPr>
          <w:rFonts w:hint="eastAsia"/>
          <w:sz w:val="28"/>
          <w:szCs w:val="28"/>
        </w:rPr>
        <w:t>, f</w:t>
      </w:r>
      <w:r w:rsidRPr="001A09AE">
        <w:rPr>
          <w:sz w:val="28"/>
          <w:szCs w:val="28"/>
        </w:rPr>
        <w:t xml:space="preserve">or administrative fees under Article 7 and </w:t>
      </w:r>
      <w:r w:rsidR="00BF4AC1" w:rsidRPr="001A09AE">
        <w:rPr>
          <w:sz w:val="28"/>
          <w:szCs w:val="28"/>
        </w:rPr>
        <w:t>user charges</w:t>
      </w:r>
      <w:r w:rsidRPr="001A09AE">
        <w:rPr>
          <w:sz w:val="28"/>
          <w:szCs w:val="28"/>
        </w:rPr>
        <w:t xml:space="preserve"> under Article 8 of the same </w:t>
      </w:r>
      <w:r w:rsidR="00D274D5" w:rsidRPr="001A09AE">
        <w:rPr>
          <w:rFonts w:hint="eastAsia"/>
          <w:sz w:val="28"/>
          <w:szCs w:val="28"/>
        </w:rPr>
        <w:t>Act</w:t>
      </w:r>
      <w:r w:rsidRPr="001A09AE">
        <w:rPr>
          <w:sz w:val="28"/>
          <w:szCs w:val="28"/>
        </w:rPr>
        <w:t xml:space="preserve">, the </w:t>
      </w:r>
      <w:r w:rsidR="00D274D5" w:rsidRPr="001A09AE">
        <w:rPr>
          <w:sz w:val="28"/>
          <w:szCs w:val="28"/>
        </w:rPr>
        <w:t>“</w:t>
      </w:r>
      <w:r w:rsidRPr="001A09AE">
        <w:rPr>
          <w:sz w:val="28"/>
          <w:szCs w:val="28"/>
        </w:rPr>
        <w:t>cost</w:t>
      </w:r>
      <w:r w:rsidR="00BF4AC1" w:rsidRPr="001A09AE">
        <w:rPr>
          <w:sz w:val="28"/>
          <w:szCs w:val="28"/>
        </w:rPr>
        <w:t>s</w:t>
      </w:r>
      <w:r w:rsidRPr="001A09AE">
        <w:rPr>
          <w:sz w:val="28"/>
          <w:szCs w:val="28"/>
        </w:rPr>
        <w:t xml:space="preserve"> recovery</w:t>
      </w:r>
      <w:r w:rsidR="00D274D5" w:rsidRPr="001A09AE">
        <w:rPr>
          <w:sz w:val="28"/>
          <w:szCs w:val="28"/>
        </w:rPr>
        <w:t>”</w:t>
      </w:r>
      <w:r w:rsidRPr="001A09AE">
        <w:rPr>
          <w:sz w:val="28"/>
          <w:szCs w:val="28"/>
        </w:rPr>
        <w:t xml:space="preserve"> and </w:t>
      </w:r>
      <w:r w:rsidR="00D274D5" w:rsidRPr="001A09AE">
        <w:rPr>
          <w:sz w:val="28"/>
          <w:szCs w:val="28"/>
        </w:rPr>
        <w:t>“</w:t>
      </w:r>
      <w:r w:rsidR="00BF4AC1" w:rsidRPr="001A09AE">
        <w:rPr>
          <w:sz w:val="28"/>
          <w:szCs w:val="28"/>
        </w:rPr>
        <w:t>fees</w:t>
      </w:r>
      <w:r w:rsidRPr="001A09AE">
        <w:rPr>
          <w:sz w:val="28"/>
          <w:szCs w:val="28"/>
        </w:rPr>
        <w:t xml:space="preserve"> </w:t>
      </w:r>
      <w:r w:rsidR="00BF4AC1" w:rsidRPr="001A09AE">
        <w:rPr>
          <w:sz w:val="28"/>
          <w:szCs w:val="28"/>
        </w:rPr>
        <w:t>compensation</w:t>
      </w:r>
      <w:r w:rsidR="00D274D5" w:rsidRPr="001A09AE">
        <w:rPr>
          <w:sz w:val="28"/>
          <w:szCs w:val="28"/>
        </w:rPr>
        <w:t>”</w:t>
      </w:r>
      <w:r w:rsidR="00D274D5" w:rsidRPr="001A09AE">
        <w:rPr>
          <w:rFonts w:hint="eastAsia"/>
          <w:sz w:val="28"/>
          <w:szCs w:val="28"/>
        </w:rPr>
        <w:t xml:space="preserve"> </w:t>
      </w:r>
      <w:r w:rsidRPr="001A09AE">
        <w:rPr>
          <w:sz w:val="28"/>
          <w:szCs w:val="28"/>
        </w:rPr>
        <w:t xml:space="preserve">principles are respectively applied. For specific regulatory matters or other special circumstances, the characteristics or objectives </w:t>
      </w:r>
      <w:r w:rsidR="00BF4AC1" w:rsidRPr="001A09AE">
        <w:rPr>
          <w:sz w:val="28"/>
          <w:szCs w:val="28"/>
        </w:rPr>
        <w:t>shall</w:t>
      </w:r>
      <w:r w:rsidRPr="001A09AE">
        <w:rPr>
          <w:sz w:val="28"/>
          <w:szCs w:val="28"/>
        </w:rPr>
        <w:t xml:space="preserve"> also be </w:t>
      </w:r>
      <w:r w:rsidR="00BF4AC1" w:rsidRPr="001A09AE">
        <w:rPr>
          <w:sz w:val="28"/>
          <w:szCs w:val="28"/>
        </w:rPr>
        <w:t>taken into consideration</w:t>
      </w:r>
      <w:r w:rsidRPr="001A09AE">
        <w:rPr>
          <w:sz w:val="28"/>
          <w:szCs w:val="28"/>
        </w:rPr>
        <w:t>. Each fee item should be individually set according to the above principles, and there should be no cross-subsidization between different items to cover costs.</w:t>
      </w:r>
    </w:p>
    <w:p w14:paraId="0F28431B" w14:textId="77777777" w:rsidR="00C47953" w:rsidRPr="001A09AE" w:rsidRDefault="00C47953" w:rsidP="00DB6511">
      <w:pPr>
        <w:spacing w:line="440" w:lineRule="exact"/>
        <w:jc w:val="both"/>
        <w:rPr>
          <w:rFonts w:ascii="新細明體" w:eastAsia="新細明體" w:hAnsi="新細明體" w:cs="Arial"/>
          <w:sz w:val="28"/>
          <w:szCs w:val="28"/>
          <w:shd w:val="clear" w:color="auto" w:fill="F9FBFB"/>
        </w:rPr>
      </w:pPr>
    </w:p>
    <w:p w14:paraId="16A311F1" w14:textId="77777777" w:rsidR="00976097" w:rsidRPr="001A09AE" w:rsidRDefault="00976097" w:rsidP="00DB6511">
      <w:pPr>
        <w:spacing w:line="440" w:lineRule="exact"/>
        <w:jc w:val="both"/>
        <w:rPr>
          <w:rFonts w:asciiTheme="majorEastAsia" w:eastAsiaTheme="majorEastAsia" w:hAnsiTheme="majorEastAsia" w:cs="Arial"/>
          <w:sz w:val="28"/>
          <w:szCs w:val="28"/>
          <w:shd w:val="clear" w:color="auto" w:fill="F9FBFB"/>
        </w:rPr>
      </w:pPr>
      <w:r w:rsidRPr="001A09AE">
        <w:rPr>
          <w:rFonts w:asciiTheme="majorEastAsia" w:eastAsiaTheme="majorEastAsia" w:hAnsiTheme="majorEastAsia" w:cs="Arial" w:hint="eastAsia"/>
          <w:sz w:val="28"/>
          <w:szCs w:val="28"/>
          <w:shd w:val="clear" w:color="auto" w:fill="F9FBFB"/>
        </w:rPr>
        <w:t>旨揭標準各收費項目所訂費額倘擬採取整數</w:t>
      </w:r>
      <w:r w:rsidRPr="001A09AE">
        <w:rPr>
          <w:rFonts w:asciiTheme="majorEastAsia" w:eastAsiaTheme="majorEastAsia" w:hAnsiTheme="majorEastAsia" w:cs="Arial"/>
          <w:sz w:val="28"/>
          <w:szCs w:val="28"/>
          <w:shd w:val="clear" w:color="auto" w:fill="F9FBFB"/>
        </w:rPr>
        <w:t>(</w:t>
      </w:r>
      <w:r w:rsidRPr="001A09AE">
        <w:rPr>
          <w:rFonts w:asciiTheme="majorEastAsia" w:eastAsiaTheme="majorEastAsia" w:hAnsiTheme="majorEastAsia" w:cs="Arial" w:hint="eastAsia"/>
          <w:sz w:val="28"/>
          <w:szCs w:val="28"/>
          <w:shd w:val="clear" w:color="auto" w:fill="F9FBFB"/>
        </w:rPr>
        <w:t>以百元、千元、萬元等為單位</w:t>
      </w:r>
      <w:r w:rsidRPr="001A09AE">
        <w:rPr>
          <w:rFonts w:asciiTheme="majorEastAsia" w:eastAsiaTheme="majorEastAsia" w:hAnsiTheme="majorEastAsia" w:cs="Arial"/>
          <w:sz w:val="28"/>
          <w:szCs w:val="28"/>
          <w:shd w:val="clear" w:color="auto" w:fill="F9FBFB"/>
        </w:rPr>
        <w:t>)</w:t>
      </w:r>
      <w:r w:rsidRPr="001A09AE">
        <w:rPr>
          <w:rFonts w:asciiTheme="majorEastAsia" w:eastAsiaTheme="majorEastAsia" w:hAnsiTheme="majorEastAsia" w:cs="Arial" w:hint="eastAsia"/>
          <w:sz w:val="28"/>
          <w:szCs w:val="28"/>
          <w:shd w:val="clear" w:color="auto" w:fill="F9FBFB"/>
        </w:rPr>
        <w:t>收取，宜請考量非整數部分成本金額進位或捨除之合理性，以成本填補率接近</w:t>
      </w:r>
      <w:r w:rsidRPr="001A09AE">
        <w:rPr>
          <w:rFonts w:asciiTheme="majorEastAsia" w:eastAsiaTheme="majorEastAsia" w:hAnsiTheme="majorEastAsia" w:cs="Times New Roman"/>
          <w:sz w:val="28"/>
          <w:szCs w:val="28"/>
        </w:rPr>
        <w:t>100</w:t>
      </w:r>
      <w:r w:rsidRPr="001A09AE">
        <w:rPr>
          <w:rFonts w:asciiTheme="majorEastAsia" w:eastAsiaTheme="majorEastAsia" w:hAnsiTheme="majorEastAsia" w:cs="Times New Roman" w:hint="eastAsia"/>
          <w:sz w:val="28"/>
          <w:szCs w:val="28"/>
        </w:rPr>
        <w:t>％</w:t>
      </w:r>
      <w:r w:rsidRPr="001A09AE">
        <w:rPr>
          <w:rFonts w:asciiTheme="majorEastAsia" w:eastAsiaTheme="majorEastAsia" w:hAnsiTheme="majorEastAsia" w:cs="Arial" w:hint="eastAsia"/>
          <w:sz w:val="28"/>
          <w:szCs w:val="28"/>
          <w:shd w:val="clear" w:color="auto" w:fill="F9FBFB"/>
        </w:rPr>
        <w:t>或達</w:t>
      </w:r>
      <w:r w:rsidRPr="001A09AE">
        <w:rPr>
          <w:rFonts w:asciiTheme="majorEastAsia" w:eastAsiaTheme="majorEastAsia" w:hAnsiTheme="majorEastAsia" w:cs="Times New Roman"/>
          <w:sz w:val="28"/>
          <w:szCs w:val="28"/>
        </w:rPr>
        <w:t>100</w:t>
      </w:r>
      <w:r w:rsidRPr="001A09AE">
        <w:rPr>
          <w:rFonts w:asciiTheme="majorEastAsia" w:eastAsiaTheme="majorEastAsia" w:hAnsiTheme="majorEastAsia" w:cs="Times New Roman" w:hint="eastAsia"/>
          <w:sz w:val="28"/>
          <w:szCs w:val="28"/>
        </w:rPr>
        <w:t>％</w:t>
      </w:r>
      <w:r w:rsidRPr="001A09AE">
        <w:rPr>
          <w:rFonts w:asciiTheme="majorEastAsia" w:eastAsiaTheme="majorEastAsia" w:hAnsiTheme="majorEastAsia" w:cs="Arial" w:hint="eastAsia"/>
          <w:sz w:val="28"/>
          <w:szCs w:val="28"/>
          <w:shd w:val="clear" w:color="auto" w:fill="F9FBFB"/>
        </w:rPr>
        <w:t>以上，始符合前述計費原則，建請再行審酌調整。</w:t>
      </w:r>
    </w:p>
    <w:p w14:paraId="08F407B2" w14:textId="77777777" w:rsidR="009E5850" w:rsidRPr="001A09AE" w:rsidRDefault="009E5850" w:rsidP="00DB6511">
      <w:pPr>
        <w:spacing w:line="440" w:lineRule="exact"/>
        <w:jc w:val="both"/>
        <w:rPr>
          <w:sz w:val="28"/>
          <w:szCs w:val="28"/>
        </w:rPr>
      </w:pPr>
      <w:r w:rsidRPr="001A09AE">
        <w:rPr>
          <w:sz w:val="28"/>
          <w:szCs w:val="28"/>
        </w:rPr>
        <w:t xml:space="preserve">If the fee amounts for each fee item based on the aforementioned standards are intended to be charged in whole numbers (in units of hundreds, thousands, or tens of thousands), it is advisable to consider the </w:t>
      </w:r>
      <w:r w:rsidRPr="001A09AE">
        <w:rPr>
          <w:sz w:val="28"/>
          <w:szCs w:val="28"/>
        </w:rPr>
        <w:lastRenderedPageBreak/>
        <w:t xml:space="preserve">reasonableness of rounding up or rounding down the fractional cost amounts. The cost recovery rate should approach 100% or exceed 100% to align with the aforementioned </w:t>
      </w:r>
      <w:r w:rsidR="00BF4AC1" w:rsidRPr="001A09AE">
        <w:rPr>
          <w:sz w:val="28"/>
          <w:szCs w:val="28"/>
        </w:rPr>
        <w:t>charging</w:t>
      </w:r>
      <w:r w:rsidRPr="001A09AE">
        <w:rPr>
          <w:sz w:val="28"/>
          <w:szCs w:val="28"/>
        </w:rPr>
        <w:t xml:space="preserve"> principles. It is recommended to further review and adjust accordingly.</w:t>
      </w:r>
      <w:bookmarkEnd w:id="0"/>
    </w:p>
    <w:sectPr w:rsidR="009E5850" w:rsidRPr="001A09AE">
      <w:headerReference w:type="default" r:id="rId6"/>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FCCE0F" w14:textId="77777777" w:rsidR="00CC41B1" w:rsidRDefault="00CC41B1" w:rsidP="00A06978">
      <w:r>
        <w:separator/>
      </w:r>
    </w:p>
  </w:endnote>
  <w:endnote w:type="continuationSeparator" w:id="0">
    <w:p w14:paraId="1E61F59C" w14:textId="77777777" w:rsidR="00CC41B1" w:rsidRDefault="00CC41B1" w:rsidP="00A06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FKaiShu-SB-Estd-BF">
    <w:altName w:val="Malgun Gothic Semilight"/>
    <w:panose1 w:val="00000000000000000000"/>
    <w:charset w:val="88"/>
    <w:family w:val="auto"/>
    <w:notTrueType/>
    <w:pitch w:val="default"/>
    <w:sig w:usb0="00000003" w:usb1="08080000" w:usb2="00000010"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8387404"/>
      <w:docPartObj>
        <w:docPartGallery w:val="Page Numbers (Bottom of Page)"/>
        <w:docPartUnique/>
      </w:docPartObj>
    </w:sdtPr>
    <w:sdtEndPr/>
    <w:sdtContent>
      <w:p w14:paraId="38DEFA80" w14:textId="4757C090" w:rsidR="00A06978" w:rsidRDefault="00A06978">
        <w:pPr>
          <w:pStyle w:val="a6"/>
          <w:jc w:val="center"/>
        </w:pPr>
        <w:r>
          <w:fldChar w:fldCharType="begin"/>
        </w:r>
        <w:r>
          <w:instrText>PAGE   \* MERGEFORMAT</w:instrText>
        </w:r>
        <w:r>
          <w:fldChar w:fldCharType="separate"/>
        </w:r>
        <w:r w:rsidR="001A09AE" w:rsidRPr="001A09AE">
          <w:rPr>
            <w:noProof/>
            <w:lang w:val="zh-TW"/>
          </w:rPr>
          <w:t>2</w:t>
        </w:r>
        <w:r>
          <w:fldChar w:fldCharType="end"/>
        </w:r>
      </w:p>
    </w:sdtContent>
  </w:sdt>
  <w:p w14:paraId="5D3CD970" w14:textId="77777777" w:rsidR="00A06978" w:rsidRDefault="00A0697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EB0925" w14:textId="77777777" w:rsidR="00CC41B1" w:rsidRDefault="00CC41B1" w:rsidP="00A06978">
      <w:r>
        <w:separator/>
      </w:r>
    </w:p>
  </w:footnote>
  <w:footnote w:type="continuationSeparator" w:id="0">
    <w:p w14:paraId="4BAAA796" w14:textId="77777777" w:rsidR="00CC41B1" w:rsidRDefault="00CC41B1" w:rsidP="00A069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C9342" w14:textId="7EF49890" w:rsidR="00231325" w:rsidRPr="00231325" w:rsidRDefault="00231325">
    <w:pPr>
      <w:pStyle w:val="a4"/>
      <w:rPr>
        <w:rFonts w:asciiTheme="majorEastAsia" w:eastAsiaTheme="majorEastAsia" w:hAnsiTheme="majorEastAsia"/>
        <w:sz w:val="28"/>
        <w:szCs w:val="28"/>
      </w:rPr>
    </w:pPr>
    <w:r w:rsidRPr="00231325">
      <w:rPr>
        <w:rFonts w:asciiTheme="majorEastAsia" w:eastAsiaTheme="majorEastAsia" w:hAnsiTheme="majorEastAsia" w:hint="eastAsia"/>
        <w:sz w:val="28"/>
        <w:szCs w:val="28"/>
      </w:rPr>
      <w:t>解釋函令英譯</w:t>
    </w:r>
    <w:r w:rsidRPr="00231325">
      <w:rPr>
        <w:rFonts w:asciiTheme="majorEastAsia" w:eastAsiaTheme="majorEastAsia" w:hAnsiTheme="majorEastAsia" w:hint="eastAsia"/>
        <w:sz w:val="28"/>
        <w:szCs w:val="28"/>
        <w:shd w:val="clear" w:color="auto" w:fill="FFFEFD"/>
      </w:rPr>
      <w:t>(首頁/服務園地/資訊公開/行政規則及解釋函令)</w:t>
    </w:r>
  </w:p>
  <w:p w14:paraId="627BE609" w14:textId="77777777" w:rsidR="00231325" w:rsidRDefault="00231325">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097"/>
    <w:rsid w:val="00034559"/>
    <w:rsid w:val="001424C1"/>
    <w:rsid w:val="001627B6"/>
    <w:rsid w:val="0018467C"/>
    <w:rsid w:val="001A09AE"/>
    <w:rsid w:val="001B0C03"/>
    <w:rsid w:val="00231325"/>
    <w:rsid w:val="002E3876"/>
    <w:rsid w:val="00301879"/>
    <w:rsid w:val="003078EC"/>
    <w:rsid w:val="003503FC"/>
    <w:rsid w:val="004363FE"/>
    <w:rsid w:val="0052662E"/>
    <w:rsid w:val="006B62B8"/>
    <w:rsid w:val="006E6324"/>
    <w:rsid w:val="008D6E9F"/>
    <w:rsid w:val="00976097"/>
    <w:rsid w:val="009E5850"/>
    <w:rsid w:val="00A06978"/>
    <w:rsid w:val="00B02AAE"/>
    <w:rsid w:val="00BD637D"/>
    <w:rsid w:val="00BF4AC1"/>
    <w:rsid w:val="00C47953"/>
    <w:rsid w:val="00CB7A65"/>
    <w:rsid w:val="00CC41B1"/>
    <w:rsid w:val="00D274D5"/>
    <w:rsid w:val="00DB65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18F4E"/>
  <w15:chartTrackingRefBased/>
  <w15:docId w15:val="{FA3AD452-448E-4CB1-ACA6-E864E50EC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637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627B6"/>
    <w:pPr>
      <w:ind w:leftChars="200" w:left="480"/>
    </w:pPr>
  </w:style>
  <w:style w:type="paragraph" w:styleId="a4">
    <w:name w:val="header"/>
    <w:basedOn w:val="a"/>
    <w:link w:val="a5"/>
    <w:uiPriority w:val="99"/>
    <w:unhideWhenUsed/>
    <w:rsid w:val="00A06978"/>
    <w:pPr>
      <w:tabs>
        <w:tab w:val="center" w:pos="4153"/>
        <w:tab w:val="right" w:pos="8306"/>
      </w:tabs>
      <w:snapToGrid w:val="0"/>
    </w:pPr>
    <w:rPr>
      <w:sz w:val="20"/>
      <w:szCs w:val="20"/>
    </w:rPr>
  </w:style>
  <w:style w:type="character" w:customStyle="1" w:styleId="a5">
    <w:name w:val="頁首 字元"/>
    <w:basedOn w:val="a0"/>
    <w:link w:val="a4"/>
    <w:uiPriority w:val="99"/>
    <w:rsid w:val="00A06978"/>
    <w:rPr>
      <w:sz w:val="20"/>
      <w:szCs w:val="20"/>
    </w:rPr>
  </w:style>
  <w:style w:type="paragraph" w:styleId="a6">
    <w:name w:val="footer"/>
    <w:basedOn w:val="a"/>
    <w:link w:val="a7"/>
    <w:uiPriority w:val="99"/>
    <w:unhideWhenUsed/>
    <w:rsid w:val="00A06978"/>
    <w:pPr>
      <w:tabs>
        <w:tab w:val="center" w:pos="4153"/>
        <w:tab w:val="right" w:pos="8306"/>
      </w:tabs>
      <w:snapToGrid w:val="0"/>
    </w:pPr>
    <w:rPr>
      <w:sz w:val="20"/>
      <w:szCs w:val="20"/>
    </w:rPr>
  </w:style>
  <w:style w:type="character" w:customStyle="1" w:styleId="a7">
    <w:name w:val="頁尾 字元"/>
    <w:basedOn w:val="a0"/>
    <w:link w:val="a6"/>
    <w:uiPriority w:val="99"/>
    <w:rsid w:val="00A06978"/>
    <w:rPr>
      <w:sz w:val="20"/>
      <w:szCs w:val="20"/>
    </w:rPr>
  </w:style>
  <w:style w:type="paragraph" w:styleId="a8">
    <w:name w:val="Balloon Text"/>
    <w:basedOn w:val="a"/>
    <w:link w:val="a9"/>
    <w:uiPriority w:val="99"/>
    <w:semiHidden/>
    <w:unhideWhenUsed/>
    <w:rsid w:val="002E387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E3876"/>
    <w:rPr>
      <w:rFonts w:asciiTheme="majorHAnsi" w:eastAsiaTheme="majorEastAsia" w:hAnsiTheme="majorHAnsi" w:cstheme="majorBidi"/>
      <w:sz w:val="18"/>
      <w:szCs w:val="18"/>
    </w:rPr>
  </w:style>
  <w:style w:type="character" w:styleId="aa">
    <w:name w:val="Hyperlink"/>
    <w:basedOn w:val="a0"/>
    <w:uiPriority w:val="99"/>
    <w:semiHidden/>
    <w:unhideWhenUsed/>
    <w:rsid w:val="002313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育如自訂">
      <a:majorFont>
        <a:latin typeface="Calibri Light"/>
        <a:ea typeface="標楷體"/>
        <a:cs typeface=""/>
      </a:majorFont>
      <a:minorFont>
        <a:latin typeface="Times New Roman"/>
        <a:ea typeface="標楷體"/>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251</Words>
  <Characters>1434</Characters>
  <Application>Microsoft Office Word</Application>
  <DocSecurity>0</DocSecurity>
  <Lines>11</Lines>
  <Paragraphs>3</Paragraphs>
  <ScaleCrop>false</ScaleCrop>
  <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林育如</dc:creator>
  <cp:keywords/>
  <dc:description/>
  <cp:lastModifiedBy>林育如</cp:lastModifiedBy>
  <cp:revision>2</cp:revision>
  <cp:lastPrinted>2024-12-06T02:19:00Z</cp:lastPrinted>
  <dcterms:created xsi:type="dcterms:W3CDTF">2024-12-27T08:45:00Z</dcterms:created>
  <dcterms:modified xsi:type="dcterms:W3CDTF">2024-12-27T08:45:00Z</dcterms:modified>
</cp:coreProperties>
</file>